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38"/>
        <w:tblInd w:w="3397" w:type="dxa"/>
        <w:tblW w:w="2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>
        <w:trPr/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Договор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0" w:name="_Hlk138345698"/>
      <w:r>
        <w:rPr>
          <w:rFonts w:ascii="Times New Roman" w:hAnsi="Times New Roman" w:cs="Times New Roman"/>
          <w:sz w:val="24"/>
          <w:szCs w:val="24"/>
        </w:rPr>
        <w:t xml:space="preserve">на обучение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среднего профессионального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очной форме обучения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38"/>
        <w:tblW w:w="9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>
        <w:trPr/>
        <w:tc>
          <w:tcPr>
            <w:tcBorders/>
            <w:tcW w:w="56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36" w:type="dxa"/>
            <w:vAlign w:val="center"/>
            <w:textDirection w:val="lrTb"/>
            <w:noWrap w:val="false"/>
          </w:tcPr>
          <w:p>
            <w:pPr>
              <w:pBdr/>
              <w:spacing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76" w:type="dxa"/>
            <w:vAlign w:val="center"/>
            <w:textDirection w:val="lrTb"/>
            <w:noWrap w:val="false"/>
          </w:tcPr>
          <w:p>
            <w:pPr>
              <w:pBdr/>
              <w:spacing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</w:t>
      </w:r>
      <w:r>
        <w:rPr>
          <w:rFonts w:ascii="Times New Roman" w:hAnsi="Times New Roman" w:cs="Times New Roman"/>
          <w:sz w:val="24"/>
          <w:szCs w:val="24"/>
        </w:rPr>
        <w:t xml:space="preserve">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</w:t>
      </w:r>
      <w:r>
        <w:rPr>
          <w:rFonts w:ascii="Times New Roman" w:hAnsi="Times New Roman" w:cs="Times New Roman"/>
          <w:sz w:val="24"/>
          <w:szCs w:val="24"/>
        </w:rPr>
        <w:t xml:space="preserve">льства о государственной аккредитации, регистрационный № 3642 от 23.07.2021г., выданного Федеральной службой по надзору в сфере образования и науки на срок до 23.07.2027 г., в лице ректора ЖМЕРЕНЕЦКОГО КОНСТАНТИНА ВЯЧЕСЛАВОВИЧА, действующего на основании п</w:t>
      </w:r>
      <w:r>
        <w:rPr>
          <w:rFonts w:ascii="Times New Roman" w:hAnsi="Times New Roman" w:cs="Times New Roman"/>
          <w:sz w:val="24"/>
          <w:szCs w:val="24"/>
        </w:rPr>
        <w:t xml:space="preserve">риказа Минздрава России № 77 пк от 28.03.2023 г. и  Устава, зарегистрированного Инспекцией Федеральной налоговой службы по Железнодорожному району г. Хабаровска  22 июля  2016 г. за государственным регистрационным номером (ГРН) № 2162724399286, именуемый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далее - Исполнитель</w:t>
      </w:r>
      <w:r>
        <w:rPr>
          <w:rFonts w:ascii="Times New Roman" w:hAnsi="Times New Roman" w:cs="Times New Roman"/>
          <w:sz w:val="24"/>
          <w:szCs w:val="24"/>
        </w:rPr>
        <w:t xml:space="preserve">), с </w:t>
      </w:r>
      <w:r>
        <w:rPr>
          <w:rFonts w:ascii="Times New Roman" w:hAnsi="Times New Roman" w:cs="Times New Roman"/>
          <w:sz w:val="24"/>
          <w:szCs w:val="24"/>
        </w:rPr>
        <w:t xml:space="preserve"> одной стороны,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(наименование орган</w:t>
      </w:r>
      <w:r>
        <w:rPr>
          <w:rFonts w:ascii="Times New Roman" w:hAnsi="Times New Roman" w:cs="Times New Roman"/>
          <w:sz w:val="12"/>
          <w:szCs w:val="12"/>
        </w:rPr>
        <w:t xml:space="preserve">изации (предприятия)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ФИО, должностного лица, действующего от имени юридического лица, документов, регламентирующих их деятельность</w:t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гражданин Российской Федерации 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ФИО обучающегося</w:t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далее – Обучающийся</w:t>
      </w:r>
      <w:r>
        <w:rPr>
          <w:rFonts w:ascii="Times New Roman" w:hAnsi="Times New Roman" w:cs="Times New Roman"/>
          <w:sz w:val="24"/>
          <w:szCs w:val="24"/>
        </w:rPr>
        <w:t xml:space="preserve">),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совместно именуемые Стороны,</w:t>
      </w:r>
      <w:r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1.Предмет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5"/>
      </w:tblGrid>
      <w:tr>
        <w:trPr>
          <w:trHeight w:val="80"/>
        </w:trPr>
        <w:tc>
          <w:tcPr>
            <w:tcBorders>
              <w:bottom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Среднего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образовательной программы высшего образования)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33.02.01 Фармация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очная форма обучения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(форма обучения, код, наименование профессии, специальности или направления подготовки)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tbl>
      <w:tblPr>
        <w:tblStyle w:val="938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page" w:tblpX="1662" w:vertAnchor="text" w:tblpY="646" w:leftFromText="180" w:topFromText="0" w:rightFromText="180" w:bottomFromText="0"/>
        <w:tblLook w:val="04A0" w:firstRow="1" w:lastRow="0" w:firstColumn="1" w:lastColumn="0" w:noHBand="0" w:noVBand="1"/>
      </w:tblPr>
      <w:tblGrid>
        <w:gridCol w:w="7540"/>
        <w:gridCol w:w="2031"/>
      </w:tblGrid>
      <w:tr>
        <w:trPr/>
        <w:tc>
          <w:tcPr>
            <w:tcBorders/>
            <w:tcW w:w="3939" w:type="pct"/>
            <w:vAlign w:val="center"/>
            <w:textDirection w:val="lrTb"/>
            <w:noWrap w:val="false"/>
          </w:tcPr>
          <w:p>
            <w:pPr>
              <w:pBdr/>
              <w:spacing/>
              <w:ind w:right="-108" w:left="-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стандартом по направлению подготовки составляет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0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год 10 мес.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в соответствии с федеральным государственным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323"/>
        <w:gridCol w:w="2909"/>
        <w:gridCol w:w="470"/>
        <w:gridCol w:w="2790"/>
      </w:tblGrid>
      <w:tr>
        <w:trPr/>
        <w:tc>
          <w:tcPr>
            <w:tcBorders/>
            <w:tcW w:w="2972" w:type="dxa"/>
            <w:textDirection w:val="lrTb"/>
            <w:noWrap w:val="false"/>
          </w:tcPr>
          <w:p>
            <w:pPr>
              <w:pBdr/>
              <w:spacing/>
              <w:ind w:firstLine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1.2.1.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9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«01» сентября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tbl>
      <w:tblPr>
        <w:tblStyle w:val="938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page" w:tblpX="1666" w:vertAnchor="text" w:tblpY="365" w:leftFromText="180" w:topFromText="0" w:rightFromText="180" w:bottomFromText="0"/>
        <w:tblLook w:val="04A0" w:firstRow="1" w:lastRow="0" w:firstColumn="1" w:lastColumn="0" w:noHBand="0" w:noVBand="1"/>
      </w:tblPr>
      <w:tblGrid>
        <w:gridCol w:w="250"/>
        <w:gridCol w:w="2150"/>
        <w:gridCol w:w="253"/>
        <w:gridCol w:w="6663"/>
        <w:gridCol w:w="255"/>
      </w:tblGrid>
      <w:tr>
        <w:trPr>
          <w:gridAfter w:val="1"/>
        </w:trPr>
        <w:tc>
          <w:tcPr>
            <w:gridSpan w:val="2"/>
            <w:tcBorders/>
            <w:tcW w:w="1254" w:type="pct"/>
            <w:textDirection w:val="lrTb"/>
            <w:noWrap w:val="false"/>
          </w:tcPr>
          <w:p>
            <w:pPr>
              <w:pBdr/>
              <w:spacing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обучению, 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left w:val="none" w:color="000000" w:sz="4" w:space="0"/>
              <w:bottom w:val="single" w:color="auto" w:sz="4" w:space="0"/>
            </w:tcBorders>
            <w:tcW w:w="3613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Before w:val="1"/>
        </w:trPr>
        <w:tc>
          <w:tcPr>
            <w:gridSpan w:val="2"/>
            <w:tcBorders/>
            <w:tcW w:w="125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61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(количество месяцев, лет)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После освоения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 прохождения государственной итоговой аттестации ему выдается документ об образовании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38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Spec="left" w:vertAnchor="text" w:tblpY="95" w:leftFromText="180" w:topFromText="0" w:rightFromText="180" w:bottomFromText="0"/>
        <w:tblLook w:val="04A0" w:firstRow="1" w:lastRow="0" w:firstColumn="1" w:lastColumn="0" w:noHBand="0" w:noVBand="1"/>
      </w:tblPr>
      <w:tblGrid>
        <w:gridCol w:w="2427"/>
        <w:gridCol w:w="7144"/>
      </w:tblGrid>
      <w:tr>
        <w:trPr>
          <w:trHeight w:val="20"/>
        </w:trPr>
        <w:tc>
          <w:tcPr>
            <w:tcBorders/>
            <w:tcW w:w="1268" w:type="pct"/>
            <w:vAlign w:val="center"/>
            <w:textDirection w:val="lrTb"/>
            <w:noWrap w:val="false"/>
          </w:tcPr>
          <w:p>
            <w:pPr>
              <w:pBdr/>
              <w:spacing/>
              <w:ind w:left="-2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и(или) о квалификации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73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среднем профессиональном образовании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26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73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(указать документ)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образовательной программы в случае отчисления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им обучения в полном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на срок предоставления академического отпуска, а также в других предусмотренных действующим законодательством об образовании случаях.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Взаимодействие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Исполнитель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Зачислить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 Довести до Заказчика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информацию, соде</w:t>
      </w:r>
      <w:r>
        <w:rPr>
          <w:rFonts w:ascii="Times New Roman" w:hAnsi="Times New Roman" w:cs="Times New Roman"/>
          <w:sz w:val="24"/>
          <w:szCs w:val="24"/>
        </w:rPr>
        <w:t xml:space="preserve">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от 29 декабря 2012 г. № 273-ФЗ "Об образовании в Российской Федерации".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Организовать и обеспечить надлежащее предоставление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  Принимать от Заказчика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плату за образовательные услуги.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чем за две недели до истечения сроков, указанных в разделе 3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1" w:name="_GoBack"/>
      <w:r/>
      <w:bookmarkEnd w:id="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Исполнитель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Заказчик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Своевременно вносить плату за предоставляемые услуги, указанные в разделе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образовательное учреждение и в процессе его обучения своевременно предоставля</w:t>
      </w:r>
      <w:r>
        <w:rPr>
          <w:rFonts w:ascii="Times New Roman" w:hAnsi="Times New Roman" w:cs="Times New Roman"/>
          <w:sz w:val="24"/>
          <w:szCs w:val="24"/>
        </w:rPr>
        <w:t xml:space="preserve">ть все необходимые документы, связанные с оплатой обучения.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Заказчик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Получать информацию об успеваемости, поведении, отношении Обучающегося к учебе в целом и по отдельным предметам учебного плана;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 xml:space="preserve">Обучающийся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осещать занятия согласно учебному расписанию и обязательно извещать Исполнителя об уважительных причинах отсутствия на занятиях.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задания по подготовке к занятиям, даваемые педагогическими работниками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Соблюдать требования Устава Исполнителя, Правил внутреннего распорядка и иных локальных нормативных актов, соблюдать учебную дисциплину и об</w:t>
      </w:r>
      <w:r>
        <w:rPr>
          <w:rFonts w:ascii="Times New Roman" w:hAnsi="Times New Roman" w:cs="Times New Roman"/>
          <w:sz w:val="24"/>
          <w:szCs w:val="24"/>
        </w:rPr>
        <w:t xml:space="preserve">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Бережно относиться к имуществу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Обучающийся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Обращаться к работникам Исполнителя по вопросам, касающимся процесса обучения в образовательном учреждении;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 Получать полную и достоверную информацию об оценке своих знаний, умений и навыков, а также о критериях этой оценки;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1418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2.6.5. Принимать участие в социально-культурных, оздоровительных и т.п. мероприятиях, организованных Исполнителем.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Оплата услуг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Заказчик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оплачивает услуги, предусмотренные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составляет: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256 000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Двести пятьдесят шесть тысяч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(полная стоимость, стоимость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01.09.202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                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bookmarkStart w:id="2" w:name="_Hlk138345537"/>
      <w:r>
        <w:rPr>
          <w:rFonts w:ascii="Times New Roman" w:hAnsi="Times New Roman" w:cs="Times New Roman"/>
          <w:b/>
          <w:bCs/>
          <w:sz w:val="24"/>
          <w:szCs w:val="24"/>
        </w:rPr>
        <w:t xml:space="preserve">медико-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фармацевтическом колледже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128 000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 двадцать восемь тысяч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(стоимость обучения указать в цифрах и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</w:t>
      </w:r>
      <w:r>
        <w:rPr>
          <w:rFonts w:ascii="Times New Roman" w:hAnsi="Times New Roman" w:cs="Times New Roman"/>
          <w:sz w:val="24"/>
          <w:szCs w:val="24"/>
        </w:rPr>
        <w:t xml:space="preserve">теля годовой стоимости обучения на основании выставленного Заказчику счета на оплату услуг.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Заказчик осуществляет оплату стоимости обучения в два этапа в следующем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и последующих курсов до 15 июля текущего 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 – до начала весеннего семестра (до 15 марта текущего года).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</w:t>
      </w:r>
      <w:r>
        <w:rPr>
          <w:rFonts w:ascii="Times New Roman" w:hAnsi="Times New Roman" w:cs="Times New Roman"/>
          <w:sz w:val="24"/>
          <w:szCs w:val="24"/>
        </w:rPr>
        <w:t xml:space="preserve">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 Дополнительное соглашение об изменении стоимости обучения, заключается в срок до начала учебного года, подписывается сторонами и является неотъемлемой частью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</w:t>
      </w:r>
      <w:r>
        <w:rPr>
          <w:rFonts w:ascii="Times New Roman" w:hAnsi="Times New Roman" w:cs="Times New Roman"/>
          <w:sz w:val="24"/>
          <w:szCs w:val="24"/>
        </w:rPr>
        <w:t xml:space="preserve"> Исполнитель обязан своевременно направлять Заказчику первичные бухгалтерские документы, подтверждающие оказанные и оплачиваемые услуги (2 экземпляра акта об оказанных услугах).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Дополнительные условия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Стипендия в стоимость обучения не входит.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Проезд на производственную практику в оба конца, суточные расходы, связанные с производственной практикой, не включены в стоимость обучения и оплачиваются студентом самостоятельно.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Плата за проживание в общежитии в стоимость оплаты за обучение не входит.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Основания изменения и расторжения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Условия настоящего договора могут быть изменены или дополнены по соглашению сторон либо в соответствии с действующим законодательством путем заключения соответствующего дополнительного соглашения.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Настоящий Договор может быть расторгнут по иниц</w:t>
      </w:r>
      <w:r>
        <w:rPr>
          <w:rFonts w:ascii="Times New Roman" w:hAnsi="Times New Roman" w:cs="Times New Roman"/>
          <w:sz w:val="24"/>
          <w:szCs w:val="24"/>
        </w:rPr>
        <w:t xml:space="preserve">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от 15.09.2020 N 1441 "Об утверждении Правил оказания платных образовательных услуг".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Действие настоящего Договора прекращается досрочно: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5.3.1. По инициативе Заказчика и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5.3.2. По инициативе Исполнителя в случае применения к </w:t>
      </w:r>
      <w:r>
        <w:rPr>
          <w:rFonts w:ascii="Times New Roman" w:hAnsi="Times New Roman" w:cs="Times New Roman"/>
          <w:sz w:val="24"/>
          <w:szCs w:val="24"/>
        </w:rPr>
        <w:t xml:space="preserve">Обучающемуся, достигшему возраста пятнадцати лет, отчисления как меры дисциплинарного взыскания;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</w:t>
      </w:r>
      <w:r>
        <w:rPr>
          <w:rFonts w:ascii="Times New Roman" w:hAnsi="Times New Roman" w:cs="Times New Roman"/>
          <w:sz w:val="24"/>
          <w:szCs w:val="24"/>
        </w:rPr>
        <w:t xml:space="preserve">лнению учебного плана;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в случае просрочки оплаты стоимости платных образовательных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5.3.3. По обстоятельствам, не зависящим от воли Заказчика, Обучающегося и Исполнителя, в том числе в случае ликвидации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Исполнитель вправе отказаться от исполнения обязательств по Договору при условии полного возмещения 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убытков.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Заказчик и Обучающийся вправе отказаться от исполнения настоящего Договора при условии оплаты Исполнителю фактически понесенных им расходов по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Заключительные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Исполнитель вправе перевести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устанавливаются локальным нормативным актом исполнителя и доводится до сведения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Сведения, указанные в настоящем Договоре, соответствуют информации, размещенной на официальном сайте Исполнителя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fesmu.ru/" w:history="1">
        <w:r>
          <w:rPr>
            <w:rStyle w:val="941"/>
            <w:rFonts w:ascii="Times New Roman" w:hAnsi="Times New Roman" w:cs="Times New Roman"/>
            <w:sz w:val="24"/>
            <w:szCs w:val="24"/>
            <w:lang w:val="en-US"/>
          </w:rPr>
          <w:t xml:space="preserve">http</w:t>
        </w:r>
        <w:r>
          <w:rPr>
            <w:rStyle w:val="941"/>
            <w:rFonts w:ascii="Times New Roman" w:hAnsi="Times New Roman" w:cs="Times New Roman"/>
            <w:sz w:val="24"/>
            <w:szCs w:val="24"/>
          </w:rPr>
          <w:t xml:space="preserve">://</w:t>
        </w:r>
        <w:r>
          <w:rPr>
            <w:rStyle w:val="941"/>
            <w:rFonts w:ascii="Times New Roman" w:hAnsi="Times New Roman" w:cs="Times New Roman"/>
            <w:sz w:val="24"/>
            <w:szCs w:val="24"/>
            <w:lang w:val="en-US"/>
          </w:rPr>
          <w:t xml:space="preserve">www</w:t>
        </w:r>
        <w:r>
          <w:rPr>
            <w:rStyle w:val="94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941"/>
            <w:rFonts w:ascii="Times New Roman" w:hAnsi="Times New Roman" w:cs="Times New Roman"/>
            <w:sz w:val="24"/>
            <w:szCs w:val="24"/>
            <w:lang w:val="en-US"/>
          </w:rPr>
          <w:t xml:space="preserve">fesmu</w:t>
        </w:r>
        <w:r>
          <w:rPr>
            <w:rStyle w:val="94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941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  <w:r>
          <w:rPr>
            <w:rStyle w:val="941"/>
            <w:rFonts w:ascii="Times New Roman" w:hAnsi="Times New Roman" w:cs="Times New Roman"/>
            <w:sz w:val="24"/>
            <w:szCs w:val="24"/>
          </w:rPr>
          <w:t xml:space="preserve"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сети "Интернет" на дату заключения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Под периодом предоставления образовательной услуги (периодом обучения) понимается промежуток времени с даты издани</w:t>
      </w:r>
      <w:r>
        <w:rPr>
          <w:rFonts w:ascii="Times New Roman" w:hAnsi="Times New Roman" w:cs="Times New Roman"/>
          <w:sz w:val="24"/>
          <w:szCs w:val="24"/>
        </w:rPr>
        <w:t xml:space="preserve">я приказа о зачислении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до даты издания приказа об окончании обучения и</w:t>
      </w:r>
      <w:r>
        <w:rPr>
          <w:rFonts w:ascii="Times New Roman" w:hAnsi="Times New Roman" w:cs="Times New Roman"/>
          <w:sz w:val="24"/>
          <w:szCs w:val="24"/>
        </w:rPr>
        <w:t xml:space="preserve">ли отчислении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3-х экземплярах, по одному для каждой из сторон (1 экз. бухгалтерии ДВГМУ). Все экземпляры имеют одинаковую</w:t>
      </w:r>
      <w:r>
        <w:rPr>
          <w:rFonts w:ascii="Times New Roman" w:hAnsi="Times New Roman" w:cs="Times New Roman"/>
          <w:sz w:val="24"/>
          <w:szCs w:val="24"/>
        </w:rPr>
        <w:t xml:space="preserve">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каждой из Сторон договора. Изменения оформляются дополнительными соглашениями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Реквизиты и подписи Сторон: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38"/>
        <w:tblW w:w="9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"/>
        <w:gridCol w:w="1211"/>
        <w:gridCol w:w="283"/>
        <w:gridCol w:w="99"/>
        <w:gridCol w:w="284"/>
        <w:gridCol w:w="2308"/>
        <w:gridCol w:w="273"/>
        <w:gridCol w:w="252"/>
        <w:gridCol w:w="297"/>
        <w:gridCol w:w="459"/>
        <w:gridCol w:w="284"/>
        <w:gridCol w:w="222"/>
        <w:gridCol w:w="283"/>
        <w:gridCol w:w="2710"/>
        <w:gridCol w:w="283"/>
      </w:tblGrid>
      <w:tr>
        <w:trPr>
          <w:gridBefore w:val="1"/>
        </w:trPr>
        <w:tc>
          <w:tcPr>
            <w:gridSpan w:val="6"/>
            <w:tcBorders/>
            <w:tcW w:w="445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3" w:name="_Hlk13824187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7"/>
            <w:tcBorders/>
            <w:tcW w:w="45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Обучающийся: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Before w:val="1"/>
          <w:trHeight w:val="45"/>
        </w:trPr>
        <w:tc>
          <w:tcPr>
            <w:gridSpan w:val="6"/>
            <w:tcBorders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5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Before w:val="1"/>
          <w:trHeight w:val="45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5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Before w:val="1"/>
          <w:trHeight w:val="45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5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5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top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организации, предприятия в лице руководителя Ф.И.О. полностью)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/>
            <w:tcW w:w="12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Паспорт: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Style w:val="939"/>
              <w:pBdr/>
              <w:tabs>
                <w:tab w:val="left" w:leader="none" w:pos="1484"/>
              </w:tabs>
              <w:spacing/>
              <w:ind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Style w:val="939"/>
              <w:pBdr/>
              <w:tabs>
                <w:tab w:val="left" w:leader="none" w:pos="1484"/>
              </w:tabs>
              <w:spacing/>
              <w:ind w:left="195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538" w:type="dxa"/>
            <w:textDirection w:val="lrTb"/>
            <w:noWrap w:val="false"/>
          </w:tcPr>
          <w:p>
            <w:pPr>
              <w:pStyle w:val="939"/>
              <w:pBdr/>
              <w:tabs>
                <w:tab w:val="left" w:leader="none" w:pos="1484"/>
              </w:tabs>
              <w:spacing/>
              <w:ind w:left="157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(серия, номер паспорта)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5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5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5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(когда и кем выдан паспорт)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5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5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5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(место регистрации)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Before w:val="1"/>
          <w:trHeight w:val="88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10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СНИЛС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4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 w:lef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 w:left="3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538" w:type="dxa"/>
            <w:vAlign w:val="center"/>
            <w:textDirection w:val="lrTb"/>
            <w:noWrap w:val="false"/>
          </w:tcPr>
          <w:p>
            <w:pPr>
              <w:pBdr/>
              <w:spacing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(страховой номер индивидуального лицевого счета)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2"/>
            <w:tcBorders/>
            <w:tcW w:w="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37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Before w:val="1"/>
        </w:trPr>
        <w:tc>
          <w:tcPr>
            <w:gridSpan w:val="6"/>
            <w:tcBorders>
              <w:top w:val="single" w:color="auto" w:sz="4" w:space="0"/>
            </w:tcBorders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(Банковские реквизиты)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538" w:type="dxa"/>
            <w:vAlign w:val="center"/>
            <w:textDirection w:val="lrTb"/>
            <w:noWrap w:val="false"/>
          </w:tcPr>
          <w:p>
            <w:pPr>
              <w:pBdr/>
              <w:spacing/>
              <w:ind w:left="324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идентификационный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номер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налогоплательщика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Before w:val="1"/>
        </w:trPr>
        <w:tc>
          <w:tcPr>
            <w:gridSpan w:val="6"/>
            <w:tcBorders/>
            <w:tcW w:w="4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7"/>
            <w:tcBorders/>
            <w:tcW w:w="45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</w:tr>
      <w:tr>
        <w:trPr>
          <w:gridBefore w:val="1"/>
        </w:trPr>
        <w:tc>
          <w:tcPr>
            <w:tcBorders>
              <w:bottom w:val="single" w:color="auto" w:sz="4" w:space="0"/>
            </w:tcBorders>
            <w:tcW w:w="12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6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/>
            <w:tcW w:w="2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2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7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Before w:val="1"/>
          <w:trHeight w:val="70"/>
        </w:trPr>
        <w:tc>
          <w:tcPr>
            <w:tcBorders>
              <w:top w:val="single" w:color="auto" w:sz="4" w:space="0"/>
            </w:tcBorders>
            <w:tcW w:w="12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/>
            <w:tcW w:w="3247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52" w:type="dxa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/>
            <w:tcW w:w="12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3276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15"/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15"/>
            <w:tcBorders>
              <w:bottom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ДВГМУ Минздрава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15"/>
            <w:tcBorders>
              <w:top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(полное наименование)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164"/>
        </w:trPr>
        <w:tc>
          <w:tcPr>
            <w:gridSpan w:val="15"/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Хабаровскому краю (ФГБОУ ВО ДВГМУ Минздрава России ЛС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20226X51140)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15"/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680000, г. Хабаровск, ул. Муравьева-Амурского, д.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15"/>
            <w:tcBorders/>
            <w:tcW w:w="9355" w:type="dxa"/>
            <w:textDirection w:val="lrTb"/>
            <w:noWrap w:val="false"/>
          </w:tcPr>
          <w:p>
            <w:pPr>
              <w:pStyle w:val="930"/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ОКЦ № 2 ДГУ Банка России//УФК по Хабаровскому краю г. Хабаровск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15"/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010813050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15"/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счёта банка получателя (Единый казначейский счёт) 40102810845370000014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15"/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счёта получателя (казначейский счёт) 03214643000000012200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15"/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2721020896 КПП 272101001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15"/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ОКТМО 08701000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15"/>
            <w:tcBorders>
              <w:bottom w:val="single" w:color="auto" w:sz="4" w:space="0"/>
            </w:tcBorders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ОКПО 01962959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30"/>
        </w:trPr>
        <w:tc>
          <w:tcPr>
            <w:gridSpan w:val="15"/>
            <w:tcBorders>
              <w:top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(реквизиты организации Исполнителя)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trHeight w:val="230"/>
        </w:trPr>
        <w:tc>
          <w:tcPr>
            <w:gridSpan w:val="15"/>
            <w:tcBorders/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bottom w:val="single" w:color="auto" w:sz="4" w:space="0"/>
            </w:tcBorders>
            <w:tcW w:w="17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3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К.В. Жмеренецкий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М.П.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 ДВГМУ Минздрава России; 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- </w:t>
      </w:r>
      <w:r>
        <w:rPr>
          <w:rFonts w:ascii="Times New Roman" w:hAnsi="Times New Roman" w:cs="Times New Roman"/>
          <w:b/>
          <w:sz w:val="24"/>
          <w:szCs w:val="24"/>
        </w:rPr>
        <w:t xml:space="preserve">ОЗНАКОМЛЕН.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Обучающийся: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bookmarkEnd w:id="3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first" r:id="rId8"/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39329517"/>
      <w:docPartObj>
        <w:docPartGallery w:val="Page Numbers (Bottom of Page)"/>
        <w:docPartUnique w:val="true"/>
      </w:docPartObj>
      <w:rPr/>
    </w:sdtPr>
    <w:sdtContent>
      <w:p>
        <w:pPr>
          <w:pStyle w:val="936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93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pBdr/>
      <w:spacing/>
      <w:ind w:left="7655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О</w:t>
    </w:r>
    <w:r>
      <w:rPr>
        <w:rFonts w:ascii="Times New Roman" w:hAnsi="Times New Roman" w:cs="Times New Roman"/>
        <w:sz w:val="18"/>
        <w:szCs w:val="18"/>
      </w:rPr>
      <w:t xml:space="preserve">Ю</w:t>
    </w:r>
    <w:r>
      <w:rPr>
        <w:rFonts w:ascii="Times New Roman" w:hAnsi="Times New Roman" w:cs="Times New Roman"/>
        <w:sz w:val="18"/>
        <w:szCs w:val="18"/>
      </w:rPr>
      <w:t xml:space="preserve">с</w:t>
    </w: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  <w:p>
    <w:pPr>
      <w:pStyle w:val="934"/>
      <w:pBdr/>
      <w:spacing/>
      <w:ind w:left="6237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 xml:space="preserve">организацией (предприятием), оплачивающей(им) обучение</w:t>
    </w: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  <w:p>
    <w:pPr>
      <w:pStyle w:val="934"/>
      <w:pBdr/>
      <w:spacing/>
      <w:ind w:left="6237"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8">
    <w:name w:val="Table Grid Light"/>
    <w:basedOn w:val="9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1"/>
    <w:basedOn w:val="9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2"/>
    <w:basedOn w:val="9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1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2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3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5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6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3">
    <w:name w:val="Heading 1"/>
    <w:basedOn w:val="930"/>
    <w:next w:val="930"/>
    <w:link w:val="8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4">
    <w:name w:val="Heading 2"/>
    <w:basedOn w:val="930"/>
    <w:next w:val="930"/>
    <w:link w:val="8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5">
    <w:name w:val="Heading 3"/>
    <w:basedOn w:val="930"/>
    <w:next w:val="930"/>
    <w:link w:val="8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6">
    <w:name w:val="Heading 4"/>
    <w:basedOn w:val="930"/>
    <w:next w:val="930"/>
    <w:link w:val="8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7">
    <w:name w:val="Heading 5"/>
    <w:basedOn w:val="930"/>
    <w:next w:val="930"/>
    <w:link w:val="8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8">
    <w:name w:val="Heading 6"/>
    <w:basedOn w:val="930"/>
    <w:next w:val="930"/>
    <w:link w:val="8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9">
    <w:name w:val="Heading 7"/>
    <w:basedOn w:val="930"/>
    <w:next w:val="930"/>
    <w:link w:val="8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0">
    <w:name w:val="Heading 8"/>
    <w:basedOn w:val="930"/>
    <w:next w:val="930"/>
    <w:link w:val="88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1">
    <w:name w:val="Heading 9"/>
    <w:basedOn w:val="930"/>
    <w:next w:val="930"/>
    <w:link w:val="89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2">
    <w:name w:val="Heading 1 Char"/>
    <w:basedOn w:val="931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3">
    <w:name w:val="Heading 2 Char"/>
    <w:basedOn w:val="931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4">
    <w:name w:val="Heading 3 Char"/>
    <w:basedOn w:val="931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5">
    <w:name w:val="Heading 4 Char"/>
    <w:basedOn w:val="931"/>
    <w:link w:val="8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6">
    <w:name w:val="Heading 5 Char"/>
    <w:basedOn w:val="931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7">
    <w:name w:val="Heading 6 Char"/>
    <w:basedOn w:val="931"/>
    <w:link w:val="8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8">
    <w:name w:val="Heading 7 Char"/>
    <w:basedOn w:val="931"/>
    <w:link w:val="8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9">
    <w:name w:val="Heading 8 Char"/>
    <w:basedOn w:val="931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0">
    <w:name w:val="Heading 9 Char"/>
    <w:basedOn w:val="931"/>
    <w:link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1">
    <w:name w:val="Title"/>
    <w:basedOn w:val="930"/>
    <w:next w:val="930"/>
    <w:link w:val="89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2">
    <w:name w:val="Title Char"/>
    <w:basedOn w:val="931"/>
    <w:link w:val="8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3">
    <w:name w:val="Subtitle"/>
    <w:basedOn w:val="930"/>
    <w:next w:val="930"/>
    <w:link w:val="89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4">
    <w:name w:val="Subtitle Char"/>
    <w:basedOn w:val="931"/>
    <w:link w:val="89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5">
    <w:name w:val="Quote"/>
    <w:basedOn w:val="930"/>
    <w:next w:val="930"/>
    <w:link w:val="89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6">
    <w:name w:val="Quote Char"/>
    <w:basedOn w:val="931"/>
    <w:link w:val="89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7">
    <w:name w:val="List Paragraph"/>
    <w:basedOn w:val="930"/>
    <w:uiPriority w:val="34"/>
    <w:qFormat/>
    <w:pPr>
      <w:pBdr/>
      <w:spacing/>
      <w:ind w:left="720"/>
      <w:contextualSpacing w:val="true"/>
    </w:pPr>
  </w:style>
  <w:style w:type="character" w:styleId="898">
    <w:name w:val="Intense Emphasis"/>
    <w:basedOn w:val="9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9">
    <w:name w:val="Intense Quote"/>
    <w:basedOn w:val="930"/>
    <w:next w:val="930"/>
    <w:link w:val="90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0">
    <w:name w:val="Intense Quote Char"/>
    <w:basedOn w:val="931"/>
    <w:link w:val="89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1">
    <w:name w:val="Intense Reference"/>
    <w:basedOn w:val="9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2">
    <w:name w:val="No Spacing"/>
    <w:basedOn w:val="930"/>
    <w:uiPriority w:val="1"/>
    <w:qFormat/>
    <w:pPr>
      <w:pBdr/>
      <w:spacing w:after="0" w:line="240" w:lineRule="auto"/>
      <w:ind/>
    </w:pPr>
  </w:style>
  <w:style w:type="character" w:styleId="903">
    <w:name w:val="Subtle Emphasis"/>
    <w:basedOn w:val="9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4">
    <w:name w:val="Emphasis"/>
    <w:basedOn w:val="931"/>
    <w:uiPriority w:val="20"/>
    <w:qFormat/>
    <w:pPr>
      <w:pBdr/>
      <w:spacing/>
      <w:ind/>
    </w:pPr>
    <w:rPr>
      <w:i/>
      <w:iCs/>
    </w:rPr>
  </w:style>
  <w:style w:type="character" w:styleId="905">
    <w:name w:val="Strong"/>
    <w:basedOn w:val="931"/>
    <w:uiPriority w:val="22"/>
    <w:qFormat/>
    <w:pPr>
      <w:pBdr/>
      <w:spacing/>
      <w:ind/>
    </w:pPr>
    <w:rPr>
      <w:b/>
      <w:bCs/>
    </w:rPr>
  </w:style>
  <w:style w:type="character" w:styleId="906">
    <w:name w:val="Subtle Reference"/>
    <w:basedOn w:val="9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7">
    <w:name w:val="Book Title"/>
    <w:basedOn w:val="9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8">
    <w:name w:val="Header Char"/>
    <w:basedOn w:val="931"/>
    <w:link w:val="934"/>
    <w:uiPriority w:val="99"/>
    <w:pPr>
      <w:pBdr/>
      <w:spacing/>
      <w:ind/>
    </w:pPr>
  </w:style>
  <w:style w:type="character" w:styleId="909">
    <w:name w:val="Footer Char"/>
    <w:basedOn w:val="931"/>
    <w:link w:val="936"/>
    <w:uiPriority w:val="99"/>
    <w:pPr>
      <w:pBdr/>
      <w:spacing/>
      <w:ind/>
    </w:pPr>
  </w:style>
  <w:style w:type="paragraph" w:styleId="910">
    <w:name w:val="Caption"/>
    <w:basedOn w:val="930"/>
    <w:next w:val="9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1">
    <w:name w:val="footnote text"/>
    <w:basedOn w:val="930"/>
    <w:link w:val="9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2">
    <w:name w:val="Footnote Text Char"/>
    <w:basedOn w:val="931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footnote reference"/>
    <w:basedOn w:val="931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930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Endnote Text Char"/>
    <w:basedOn w:val="931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endnote reference"/>
    <w:basedOn w:val="931"/>
    <w:uiPriority w:val="99"/>
    <w:semiHidden/>
    <w:unhideWhenUsed/>
    <w:pPr>
      <w:pBdr/>
      <w:spacing/>
      <w:ind/>
    </w:pPr>
    <w:rPr>
      <w:vertAlign w:val="superscript"/>
    </w:rPr>
  </w:style>
  <w:style w:type="character" w:styleId="917">
    <w:name w:val="FollowedHyperlink"/>
    <w:basedOn w:val="9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8">
    <w:name w:val="toc 1"/>
    <w:basedOn w:val="930"/>
    <w:next w:val="930"/>
    <w:uiPriority w:val="39"/>
    <w:unhideWhenUsed/>
    <w:pPr>
      <w:pBdr/>
      <w:spacing w:after="100"/>
      <w:ind/>
    </w:pPr>
  </w:style>
  <w:style w:type="paragraph" w:styleId="919">
    <w:name w:val="toc 2"/>
    <w:basedOn w:val="930"/>
    <w:next w:val="930"/>
    <w:uiPriority w:val="39"/>
    <w:unhideWhenUsed/>
    <w:pPr>
      <w:pBdr/>
      <w:spacing w:after="100"/>
      <w:ind w:left="220"/>
    </w:pPr>
  </w:style>
  <w:style w:type="paragraph" w:styleId="920">
    <w:name w:val="toc 3"/>
    <w:basedOn w:val="930"/>
    <w:next w:val="930"/>
    <w:uiPriority w:val="39"/>
    <w:unhideWhenUsed/>
    <w:pPr>
      <w:pBdr/>
      <w:spacing w:after="100"/>
      <w:ind w:left="440"/>
    </w:pPr>
  </w:style>
  <w:style w:type="paragraph" w:styleId="921">
    <w:name w:val="toc 4"/>
    <w:basedOn w:val="930"/>
    <w:next w:val="930"/>
    <w:uiPriority w:val="39"/>
    <w:unhideWhenUsed/>
    <w:pPr>
      <w:pBdr/>
      <w:spacing w:after="100"/>
      <w:ind w:left="660"/>
    </w:pPr>
  </w:style>
  <w:style w:type="paragraph" w:styleId="922">
    <w:name w:val="toc 5"/>
    <w:basedOn w:val="930"/>
    <w:next w:val="930"/>
    <w:uiPriority w:val="39"/>
    <w:unhideWhenUsed/>
    <w:pPr>
      <w:pBdr/>
      <w:spacing w:after="100"/>
      <w:ind w:left="880"/>
    </w:pPr>
  </w:style>
  <w:style w:type="paragraph" w:styleId="923">
    <w:name w:val="toc 6"/>
    <w:basedOn w:val="930"/>
    <w:next w:val="930"/>
    <w:uiPriority w:val="39"/>
    <w:unhideWhenUsed/>
    <w:pPr>
      <w:pBdr/>
      <w:spacing w:after="100"/>
      <w:ind w:left="1100"/>
    </w:pPr>
  </w:style>
  <w:style w:type="paragraph" w:styleId="924">
    <w:name w:val="toc 7"/>
    <w:basedOn w:val="930"/>
    <w:next w:val="930"/>
    <w:uiPriority w:val="39"/>
    <w:unhideWhenUsed/>
    <w:pPr>
      <w:pBdr/>
      <w:spacing w:after="100"/>
      <w:ind w:left="1320"/>
    </w:pPr>
  </w:style>
  <w:style w:type="paragraph" w:styleId="925">
    <w:name w:val="toc 8"/>
    <w:basedOn w:val="930"/>
    <w:next w:val="930"/>
    <w:uiPriority w:val="39"/>
    <w:unhideWhenUsed/>
    <w:pPr>
      <w:pBdr/>
      <w:spacing w:after="100"/>
      <w:ind w:left="1540"/>
    </w:pPr>
  </w:style>
  <w:style w:type="paragraph" w:styleId="926">
    <w:name w:val="toc 9"/>
    <w:basedOn w:val="930"/>
    <w:next w:val="930"/>
    <w:uiPriority w:val="39"/>
    <w:unhideWhenUsed/>
    <w:pPr>
      <w:pBdr/>
      <w:spacing w:after="100"/>
      <w:ind w:left="1760"/>
    </w:pPr>
  </w:style>
  <w:style w:type="character" w:styleId="927">
    <w:name w:val="Placeholder Text"/>
    <w:basedOn w:val="931"/>
    <w:uiPriority w:val="99"/>
    <w:semiHidden/>
    <w:pPr>
      <w:pBdr/>
      <w:spacing/>
      <w:ind/>
    </w:pPr>
    <w:rPr>
      <w:color w:val="666666"/>
    </w:r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table of figures"/>
    <w:basedOn w:val="930"/>
    <w:next w:val="930"/>
    <w:uiPriority w:val="99"/>
    <w:unhideWhenUsed/>
    <w:pPr>
      <w:pBdr/>
      <w:spacing w:after="0" w:afterAutospacing="0"/>
      <w:ind/>
    </w:pPr>
  </w:style>
  <w:style w:type="paragraph" w:styleId="930" w:default="1">
    <w:name w:val="Normal"/>
    <w:qFormat/>
    <w:pPr>
      <w:pBdr/>
      <w:spacing/>
      <w:ind/>
    </w:pPr>
  </w:style>
  <w:style w:type="character" w:styleId="931" w:default="1">
    <w:name w:val="Default Paragraph Font"/>
    <w:uiPriority w:val="1"/>
    <w:semiHidden/>
    <w:unhideWhenUsed/>
    <w:pPr>
      <w:pBdr/>
      <w:spacing/>
      <w:ind/>
    </w:pPr>
  </w:style>
  <w:style w:type="table" w:styleId="93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3" w:default="1">
    <w:name w:val="No List"/>
    <w:uiPriority w:val="99"/>
    <w:semiHidden/>
    <w:unhideWhenUsed/>
    <w:pPr>
      <w:pBdr/>
      <w:spacing/>
      <w:ind/>
    </w:pPr>
  </w:style>
  <w:style w:type="paragraph" w:styleId="934">
    <w:name w:val="Header"/>
    <w:basedOn w:val="930"/>
    <w:link w:val="93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5" w:customStyle="1">
    <w:name w:val="Верхний колонтитул Знак"/>
    <w:basedOn w:val="931"/>
    <w:link w:val="934"/>
    <w:uiPriority w:val="99"/>
    <w:pPr>
      <w:pBdr/>
      <w:spacing/>
      <w:ind/>
    </w:pPr>
  </w:style>
  <w:style w:type="paragraph" w:styleId="936">
    <w:name w:val="Footer"/>
    <w:basedOn w:val="930"/>
    <w:link w:val="93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7" w:customStyle="1">
    <w:name w:val="Нижний колонтитул Знак"/>
    <w:basedOn w:val="931"/>
    <w:link w:val="936"/>
    <w:uiPriority w:val="99"/>
    <w:pPr>
      <w:pBdr/>
      <w:spacing/>
      <w:ind/>
    </w:pPr>
  </w:style>
  <w:style w:type="table" w:styleId="938">
    <w:name w:val="Table Grid"/>
    <w:basedOn w:val="9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9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0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41">
    <w:name w:val="Hyperlink"/>
    <w:basedOn w:val="931"/>
    <w:uiPriority w:val="99"/>
    <w:unhideWhenUsed/>
    <w:pPr>
      <w:pBdr/>
      <w:spacing/>
      <w:ind/>
    </w:pPr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fesmu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6D11F-993F-4C0F-BAF2-8E082C12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10</cp:revision>
  <dcterms:created xsi:type="dcterms:W3CDTF">2023-08-03T03:47:00Z</dcterms:created>
  <dcterms:modified xsi:type="dcterms:W3CDTF">2026-02-26T15:08:31Z</dcterms:modified>
</cp:coreProperties>
</file>