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59"/>
        <w:tblInd w:w="3397" w:type="dxa"/>
        <w:tblW w:w="2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>
        <w:trPr/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Договор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среднего профессионального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очной форме обучения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9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>
        <w:trPr/>
        <w:tc>
          <w:tcPr>
            <w:tcBorders/>
            <w:tcW w:w="56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36" w:type="dxa"/>
            <w:vAlign w:val="center"/>
            <w:textDirection w:val="lrTb"/>
            <w:noWrap w:val="false"/>
          </w:tcPr>
          <w:p>
            <w:pPr>
              <w:pBdr/>
              <w:spacing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76" w:type="dxa"/>
            <w:vAlign w:val="center"/>
            <w:textDirection w:val="lrTb"/>
            <w:noWrap w:val="false"/>
          </w:tcPr>
          <w:p>
            <w:pPr>
              <w:pBdr/>
              <w:spacing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</w:t>
      </w:r>
      <w:r>
        <w:rPr>
          <w:rFonts w:ascii="Times New Roman" w:hAnsi="Times New Roman" w:cs="Times New Roman"/>
          <w:sz w:val="24"/>
          <w:szCs w:val="24"/>
        </w:rPr>
        <w:t xml:space="preserve">едитации, регистрационный № 3642 от 23.07.2021г., выданного Федеральной службой по надзору в сфере образования и науки на срок до 23.07.2027 г., в лице ректора ЖМЕРЕНЕЦКОГО КОНСТАНТИНА ВЯЧЕСЛАВОВИЧА, действующего на основании приказа Минздрава России № 77 </w:t>
      </w:r>
      <w:r>
        <w:rPr>
          <w:rFonts w:ascii="Times New Roman" w:hAnsi="Times New Roman" w:cs="Times New Roman"/>
          <w:sz w:val="24"/>
          <w:szCs w:val="24"/>
        </w:rPr>
        <w:t xml:space="preserve">пк</w:t>
      </w:r>
      <w:r>
        <w:rPr>
          <w:rFonts w:ascii="Times New Roman" w:hAnsi="Times New Roman" w:cs="Times New Roman"/>
          <w:sz w:val="24"/>
          <w:szCs w:val="24"/>
        </w:rPr>
        <w:t xml:space="preserve"> от 28.03.2023 г. и  Устава, зарегистрированного Инспекцией Федеральной налоговой службы по Железнодорожному району г. Хабаровска  22 июля  2016 г. за государственным регистрационным номером (ГРН) № 2162724399286, именуемый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далее - Исполнитель</w:t>
      </w:r>
      <w:r>
        <w:rPr>
          <w:rFonts w:ascii="Times New Roman" w:hAnsi="Times New Roman" w:cs="Times New Roman"/>
          <w:sz w:val="24"/>
          <w:szCs w:val="24"/>
        </w:rPr>
        <w:t xml:space="preserve">), с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Spec="left" w:vertAnchor="text" w:tblpY="57" w:leftFromText="180" w:topFromText="0" w:rightFromText="180" w:bottomFromText="0"/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>
        <w:trPr>
          <w:trHeight w:val="172"/>
        </w:trPr>
        <w:tc>
          <w:tcPr>
            <w:tcBorders/>
            <w:tcW w:w="1061" w:type="pct"/>
            <w:vAlign w:val="center"/>
            <w:textDirection w:val="lrTb"/>
            <w:noWrap w:val="false"/>
          </w:tcPr>
          <w:p>
            <w:pPr>
              <w:pBdr/>
              <w:spacing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93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72"/>
        </w:trPr>
        <w:tc>
          <w:tcPr>
            <w:tcBorders/>
            <w:tcW w:w="10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93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родителя (законного представителя) (не) совершеннолетнего)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172"/>
        </w:trPr>
        <w:tc>
          <w:tcPr>
            <w:gridSpan w:val="3"/>
            <w:tcBorders/>
            <w:tcW w:w="1288" w:type="pct"/>
            <w:vAlign w:val="center"/>
            <w:textDirection w:val="lrTb"/>
            <w:noWrap w:val="false"/>
          </w:tcPr>
          <w:p>
            <w:pPr>
              <w:pBdr/>
              <w:spacing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далее - 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7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72"/>
        </w:trPr>
        <w:tc>
          <w:tcPr>
            <w:gridSpan w:val="2"/>
            <w:tcBorders/>
            <w:tcW w:w="121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78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(не) совершеннолетнего)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далее – Обучающийся</w:t>
      </w:r>
      <w:r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1.Предмет договора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80"/>
        </w:trPr>
        <w:tc>
          <w:tcPr>
            <w:tcBorders>
              <w:bottom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Среднего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образовательной программы высшего образования)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31.02.05 Стоматология ортопедическая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очная форма обучения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(форма обучения, код, наименование профессии, специальности или направления подготовки)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в соответствии с федеральным государственным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5000" w:type="pct"/>
        <w:tblBorders/>
        <w:tblpPr w:horzAnchor="margin" w:tblpXSpec="left" w:vertAnchor="text" w:tblpY="1" w:leftFromText="180" w:topFromText="0" w:rightFromText="180" w:bottomFromText="0"/>
        <w:tblLook w:val="04A0" w:firstRow="1" w:lastRow="0" w:firstColumn="1" w:lastColumn="0" w:noHBand="0" w:noVBand="1"/>
      </w:tblPr>
      <w:tblGrid>
        <w:gridCol w:w="7396"/>
        <w:gridCol w:w="217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64" w:type="pct"/>
            <w:vAlign w:val="center"/>
            <w:textDirection w:val="lrTb"/>
            <w:noWrap w:val="false"/>
          </w:tcPr>
          <w:p>
            <w:pPr>
              <w:pBdr/>
              <w:spacing/>
              <w:ind w:lef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стандартом по направлению подготовки составляет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год 10 мес.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470"/>
        <w:gridCol w:w="2750"/>
      </w:tblGrid>
      <w:tr>
        <w:trPr/>
        <w:tc>
          <w:tcPr>
            <w:tcBorders/>
            <w:tcW w:w="2938" w:type="dxa"/>
            <w:textDirection w:val="lrTb"/>
            <w:noWrap w:val="false"/>
          </w:tcPr>
          <w:p>
            <w:pPr>
              <w:pBdr/>
              <w:spacing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«01» сентября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7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="-5" w:vertAnchor="text" w:tblpY="55" w:leftFromText="180" w:topFromText="0" w:rightFromText="180" w:bottomFromText="0"/>
        <w:tblLook w:val="04A0" w:firstRow="1" w:lastRow="0" w:firstColumn="1" w:lastColumn="0" w:noHBand="0" w:noVBand="1"/>
      </w:tblPr>
      <w:tblGrid>
        <w:gridCol w:w="2609"/>
        <w:gridCol w:w="6962"/>
      </w:tblGrid>
      <w:tr>
        <w:trPr/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Bdr/>
              <w:spacing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обучению,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63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363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6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(количество месяцев, лет)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После освоения Заказчику образовательной программы и успешного прохождения государственной итоговой аттестации ему выдается документ об образовании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Spec="left" w:vertAnchor="text" w:tblpY="46" w:leftFromText="180" w:topFromText="0" w:rightFromText="180" w:bottomFromText="0"/>
        <w:tblLook w:val="04A0" w:firstRow="1" w:lastRow="0" w:firstColumn="1" w:lastColumn="0" w:noHBand="0" w:noVBand="1"/>
      </w:tblPr>
      <w:tblGrid>
        <w:gridCol w:w="2756"/>
        <w:gridCol w:w="6815"/>
      </w:tblGrid>
      <w:tr>
        <w:trPr>
          <w:trHeight w:val="172"/>
        </w:trPr>
        <w:tc>
          <w:tcPr>
            <w:tcBorders/>
            <w:tcW w:w="1440" w:type="pct"/>
            <w:vAlign w:val="center"/>
            <w:textDirection w:val="lrTb"/>
            <w:noWrap w:val="false"/>
          </w:tcPr>
          <w:p>
            <w:pPr>
              <w:pBdr/>
              <w:spacing/>
              <w:ind w:lef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о квалификации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5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 о среднем профессиональном образовании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72"/>
        </w:trPr>
        <w:tc>
          <w:tcPr>
            <w:tcBorders/>
            <w:tcW w:w="144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5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(указать документ)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образовательной программы в случае отчисления Заказчика из образовательного учреждения до завершения им обучения в полном объеме.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Продолжительность обу</w:t>
      </w:r>
      <w:r>
        <w:rPr>
          <w:rFonts w:ascii="Times New Roman" w:hAnsi="Times New Roman" w:cs="Times New Roman"/>
          <w:sz w:val="24"/>
          <w:szCs w:val="24"/>
        </w:rPr>
        <w:t xml:space="preserve">чения подлежит увеличению в случае реализации Заказчиком в период обучения права на предоставление академического отпуска, на срок предоставления академического отпуска, а также в других предусмотренных действующим законодательством об образовании случаях.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Взаимодействие сторон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Исполнитель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Зачислить Заказчика,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</w:t>
      </w:r>
      <w:r>
        <w:rPr>
          <w:rFonts w:ascii="Times New Roman" w:hAnsi="Times New Roman" w:cs="Times New Roman"/>
          <w:sz w:val="24"/>
          <w:szCs w:val="24"/>
        </w:rPr>
        <w:t xml:space="preserve">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от 29 декабря 2012 г. № 273-ФЗ "Об образовании в Российской Федерации".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Организовать и обеспечить надлежащее предоставление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Обеспечить Заказчику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  Принимать от Заказчика плату за образовательные услуги.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чем за две недели до истечения сроков, указанных в разделе 3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Исполнитель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</w:t>
      </w:r>
      <w:r>
        <w:rPr>
          <w:rFonts w:ascii="Times New Roman" w:hAnsi="Times New Roman" w:cs="Times New Roman"/>
          <w:sz w:val="24"/>
          <w:szCs w:val="24"/>
        </w:rPr>
        <w:t xml:space="preserve">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Заказчик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Своевременно вносить плату за предоставляемые услуги, указанные в разделе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</w:t>
      </w:r>
      <w:r>
        <w:rPr>
          <w:rFonts w:ascii="Times New Roman" w:hAnsi="Times New Roman" w:cs="Times New Roman"/>
          <w:sz w:val="24"/>
          <w:szCs w:val="24"/>
        </w:rPr>
        <w:t xml:space="preserve">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Бережно относиться к имуществу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Заказчик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Получать информацию об успеваемости, поведении, отношении Обучающегося к учебе в целом и по отдельным предметам учебного плана;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Обучающийся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2.5.1. </w:t>
      </w:r>
      <w:r>
        <w:rPr>
          <w:rFonts w:ascii="Times New Roman" w:hAnsi="Times New Roman" w:cs="Times New Roman"/>
          <w:sz w:val="24"/>
          <w:szCs w:val="24"/>
        </w:rPr>
        <w:t xml:space="preserve">Посещать занятия согласно учебному расписанию и обязательно извещать Исполнителя об уважительных причинах отсутствия на занятиях.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Выполнять задания по подготовке к занятиям, даваемые педагогическими работниками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Правил внутреннего распорядка и иных локальных нормативных актов, соблюдать учебную дисциплину и об</w:t>
      </w:r>
      <w:r>
        <w:rPr>
          <w:rFonts w:ascii="Times New Roman" w:hAnsi="Times New Roman" w:cs="Times New Roman"/>
          <w:sz w:val="24"/>
          <w:szCs w:val="24"/>
        </w:rPr>
        <w:t xml:space="preserve">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 Бережно относиться к имуществу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Обучающийся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Обращаться к работникам Исполнителя по вопросам, касающимся процесса обучения в образовательном учреждении;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 Получать полную и достоверную информацию об оценке своих знаний, умений и навыков, а также о критериях этой оценки;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Принимать участие в социально-культурных, оздоровительных и т.п. мероприятиях, организованных Исполнителем.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Оплата услуг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Заказчик оплачивает услуги, предусмотренные настоящим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составляет: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256 000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Двести пятьдесят шесть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(полная стоимость, стоимость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01.09.202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             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медико-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фармацевтическом колледже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128 000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 двадцать восемь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(стоимость обучения указать в цифрах и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Заказчик осуществляет оплату стоимости обучения в два этапа в следующем порядке: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и последующих курсов до 15 июля текущего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 – до начала весеннего семестра (до 15 марта текущего года).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Дополнительное соглашение об изменении стоимости обучения, заключается в срок до начала учебного года, подписывается сторонами и является неотъемлемой частью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Дополнительные условия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Стипендия в стоимость обучения не входит.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Проезд на производственную практику в оба конца, суточные расходы, связанные с производственной практикой, не включены в стоимость обучения и оплачиваются студентом самостоятельно.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Плата за проживание в общежитии в стоимость оплаты за обучение не входит.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Основания изменения и расторжения договора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Условия настоящего договора могут быть изменены или дополнены по соглашению сторон либо в соответствии с действующим законодательством путем заключения соответствующего дополнительного соглашения.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Договор может быть расторгнут по иници</w:t>
      </w:r>
      <w:r>
        <w:rPr>
          <w:rFonts w:ascii="Times New Roman" w:hAnsi="Times New Roman" w:cs="Times New Roman"/>
          <w:sz w:val="24"/>
          <w:szCs w:val="24"/>
        </w:rPr>
        <w:t xml:space="preserve">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от 15.09.2020 № 1441 "Об утверждении Правил оказания платных образовательных услуг"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Действие настоящего Договора прекращается досрочно: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По инициативе Исполнителя в случае применения к Заказчику, достигшему возраста пятнадцати лет, отчисления как меры дисциплинарного взыскания; в случае невыполнения Заказчиком по профессиональной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программе обязанностей по добросовестному освоению такой образовательной программы и выполнению учебного плана; в случае установления нарушения порядка приема в образовательную организацию, повлекшего по вине Заказчика его незаконное зачисление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организацию; в случае просрочки оплаты стоимости платных образовательных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По обстоятельствам, не зависящим от воли Заказчика и Исполнителя, в том числе в случае ликвидации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Исполнитель вправе перевести Заказчика на бюджетную форму обучения. Основание и порядок перевода устанавливаются локальным нормативным актом исполнителя и доводится до сведения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Под периодом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3-х экземплярах, по одному для каждой из сторон (1 экз. бухгалтерии ДВГМУ). Все экземпляры имеют одинаковую</w:t>
      </w:r>
      <w:r>
        <w:rPr>
          <w:rFonts w:ascii="Times New Roman" w:hAnsi="Times New Roman" w:cs="Times New Roman"/>
          <w:sz w:val="24"/>
          <w:szCs w:val="24"/>
        </w:rPr>
        <w:t xml:space="preserve">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каждой из Сторон договора. Изменения оформляются дополнительными соглашениями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59"/>
        <w:tblW w:w="95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>
        <w:trPr>
          <w:gridAfter w:val="1"/>
          <w:gridBefore w:val="1"/>
        </w:trPr>
        <w:tc>
          <w:tcPr>
            <w:gridSpan w:val="9"/>
            <w:tcBorders/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9"/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Обучающийся: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45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45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45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3"/>
            <w:tcBorders/>
            <w:tcW w:w="1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Паспорт: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33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5"/>
            <w:tcBorders/>
            <w:tcW w:w="12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Паспорт: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2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textDirection w:val="lrTb"/>
            <w:noWrap w:val="false"/>
          </w:tcPr>
          <w:p>
            <w:pPr>
              <w:pStyle w:val="760"/>
              <w:pBdr/>
              <w:tabs>
                <w:tab w:val="left" w:leader="none" w:pos="1484"/>
              </w:tabs>
              <w:spacing/>
              <w:ind w:left="1666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(серия, номер паспорта)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Style w:val="760"/>
              <w:pBdr/>
              <w:tabs>
                <w:tab w:val="left" w:leader="none" w:pos="1484"/>
              </w:tabs>
              <w:spacing/>
              <w:ind w:left="19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536" w:type="dxa"/>
            <w:textDirection w:val="lrTb"/>
            <w:noWrap w:val="false"/>
          </w:tcPr>
          <w:p>
            <w:pPr>
              <w:pStyle w:val="760"/>
              <w:pBdr/>
              <w:tabs>
                <w:tab w:val="left" w:leader="none" w:pos="1484"/>
              </w:tabs>
              <w:spacing/>
              <w:ind w:left="157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(серия, номер паспорта)</w:t>
            </w:r>
            <w:r>
              <w:rPr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(когда и кем выдан паспорт)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(когда и кем выдан паспорт)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auto" w:sz="4" w:space="0"/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>
              <w:top w:val="single" w:color="auto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(место регистрации)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(место регистрации)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2"/>
            <w:tcBorders/>
            <w:tcW w:w="9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СНИЛС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3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/>
            <w:tcW w:w="10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СНИЛС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34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(страховой номер индивидуального лицевого счета)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(страховой номер индивидуального лицевого счета)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tcBorders/>
            <w:tcW w:w="6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8"/>
            <w:tcBorders>
              <w:bottom w:val="single" w:color="auto" w:sz="4" w:space="0"/>
            </w:tcBorders>
            <w:tcW w:w="38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37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идентификационный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номер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налогоплательщика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идентификационный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номер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налогоплательщика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gridAfter w:val="1"/>
          <w:gridBefore w:val="1"/>
        </w:trPr>
        <w:tc>
          <w:tcPr>
            <w:gridSpan w:val="9"/>
            <w:tcBorders/>
            <w:tcW w:w="44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9"/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</w:tr>
      <w:tr>
        <w:trPr>
          <w:gridAfter w:val="1"/>
          <w:gridBefore w:val="1"/>
        </w:trPr>
        <w:tc>
          <w:tcPr>
            <w:gridSpan w:val="4"/>
            <w:tcBorders>
              <w:bottom w:val="single" w:color="auto" w:sz="4" w:space="0"/>
            </w:tcBorders>
            <w:tcW w:w="12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12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27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/>
            <w:tcW w:w="2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70"/>
        </w:trPr>
        <w:tc>
          <w:tcPr>
            <w:gridSpan w:val="4"/>
            <w:tcBorders>
              <w:top w:val="single" w:color="auto" w:sz="4" w:space="0"/>
            </w:tcBorders>
            <w:tcW w:w="12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/>
            <w:tcW w:w="3249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/>
            <w:tcW w:w="12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/>
            <w:tcW w:w="3274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21"/>
            <w:tcBorders>
              <w:bottom w:val="single" w:color="auto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ДВГМУ Минздрава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21"/>
            <w:tcBorders>
              <w:top w:val="single" w:color="auto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(полное наименование)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Хабаровскому краю (ФГБОУ ВО ДВГМУ Минздрава России ЛС 20226X51140)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680000, г. Хабаровск,  ул. Муравьева-Амурского, д.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Style w:val="751"/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ОКЦ № 2 ДГУ Банка России//УФК по Хабаровскому краю г. Хабаровск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010813050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счёта банка получателя (Единый казначейский счёт) 40102810845370000014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счёта получателя (казначейский счёт) 03214643000000012200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2721020896 КПП 272101001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/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ОКТМО 08701000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21"/>
            <w:tcBorders>
              <w:bottom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ОКПО 01962959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30"/>
        </w:trPr>
        <w:tc>
          <w:tcPr>
            <w:gridSpan w:val="21"/>
            <w:tcBorders>
              <w:top w:val="single" w:color="auto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(реквизиты организации Исполнителя)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>
          <w:trHeight w:val="230"/>
        </w:trPr>
        <w:tc>
          <w:tcPr>
            <w:gridSpan w:val="21"/>
            <w:tcBorders/>
            <w:tcW w:w="9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7"/>
            <w:tcBorders>
              <w:bottom w:val="single" w:color="auto" w:sz="4" w:space="0"/>
            </w:tcBorders>
            <w:tcW w:w="17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9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К.В. Жмеренецкий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2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7"/>
            <w:tcBorders>
              <w:top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2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9"/>
            <w:tcBorders/>
            <w:tcW w:w="46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М.П.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/>
      <w:bookmarkStart w:id="1" w:name="_Hlk138241873"/>
      <w:r/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 ДВГМУ Минздрава России; 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- </w:t>
      </w:r>
      <w:r>
        <w:rPr>
          <w:rFonts w:ascii="Times New Roman" w:hAnsi="Times New Roman" w:cs="Times New Roman"/>
          <w:b/>
          <w:sz w:val="24"/>
          <w:szCs w:val="24"/>
        </w:rPr>
        <w:t xml:space="preserve">ОЗНАКОМЛЕН.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7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Обучающийся: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first" r:id="rId8"/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39329517"/>
      <w:docPartObj>
        <w:docPartGallery w:val="Page Numbers (Bottom of Page)"/>
        <w:docPartUnique w:val="true"/>
      </w:docPartObj>
      <w:rPr/>
    </w:sdtPr>
    <w:sdtContent>
      <w:p>
        <w:pPr>
          <w:pStyle w:val="75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 w:left="7655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ОФ</w:t>
    </w:r>
    <w:r>
      <w:rPr>
        <w:rFonts w:ascii="Times New Roman" w:hAnsi="Times New Roman" w:cs="Times New Roman"/>
        <w:sz w:val="18"/>
        <w:szCs w:val="18"/>
      </w:rPr>
      <w:t xml:space="preserve">Р</w:t>
    </w:r>
    <w:r>
      <w:rPr>
        <w:rFonts w:ascii="Times New Roman" w:hAnsi="Times New Roman" w:cs="Times New Roman"/>
        <w:sz w:val="18"/>
        <w:szCs w:val="18"/>
      </w:rPr>
    </w:r>
  </w:p>
  <w:p>
    <w:pPr>
      <w:pStyle w:val="755"/>
      <w:pBdr/>
      <w:spacing/>
      <w:ind w:left="6237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 xml:space="preserve">родителем (законным представителем)</w:t>
    </w:r>
    <w:r>
      <w:rPr>
        <w:rFonts w:ascii="Times New Roman" w:hAnsi="Times New Roman" w:cs="Times New Roman"/>
        <w:sz w:val="18"/>
        <w:szCs w:val="18"/>
      </w:rPr>
    </w:r>
  </w:p>
  <w:p>
    <w:pPr>
      <w:pStyle w:val="755"/>
      <w:pBdr/>
      <w:spacing/>
      <w:ind w:left="6237"/>
      <w:jc w:val="center"/>
      <w:rPr/>
    </w:pPr>
    <w:r>
      <w:rPr>
        <w:rFonts w:ascii="Times New Roman" w:hAnsi="Times New Roman" w:cs="Times New Roman"/>
        <w:sz w:val="18"/>
        <w:szCs w:val="18"/>
      </w:rPr>
      <w:t xml:space="preserve">(</w:t>
    </w:r>
    <w:r>
      <w:rPr>
        <w:rFonts w:ascii="Times New Roman" w:hAnsi="Times New Roman" w:cs="Times New Roman"/>
        <w:sz w:val="18"/>
        <w:szCs w:val="18"/>
      </w:rPr>
      <w:t xml:space="preserve">не</w:t>
    </w:r>
    <w:r>
      <w:rPr>
        <w:rFonts w:ascii="Times New Roman" w:hAnsi="Times New Roman" w:cs="Times New Roman"/>
        <w:sz w:val="18"/>
        <w:szCs w:val="18"/>
      </w:rPr>
      <w:t xml:space="preserve">) </w:t>
    </w:r>
    <w:r>
      <w:rPr>
        <w:rFonts w:ascii="Times New Roman" w:hAnsi="Times New Roman" w:cs="Times New Roman"/>
        <w:sz w:val="18"/>
        <w:szCs w:val="18"/>
      </w:rPr>
      <w:t xml:space="preserve">совершеннолетнего</w:t>
    </w:r>
    <w:r/>
  </w:p>
  <w:p>
    <w:pPr>
      <w:pStyle w:val="755"/>
      <w:pBdr/>
      <w:spacing/>
      <w:ind w:left="6237"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51"/>
    <w:next w:val="75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51"/>
    <w:next w:val="75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51"/>
    <w:next w:val="75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51"/>
    <w:next w:val="75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51"/>
    <w:next w:val="75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51"/>
    <w:next w:val="75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51"/>
    <w:next w:val="75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51"/>
    <w:next w:val="75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51"/>
    <w:next w:val="75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5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5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5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5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5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5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5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5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5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51"/>
    <w:next w:val="75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5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51"/>
    <w:next w:val="75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5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51"/>
    <w:next w:val="75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5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5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51"/>
    <w:next w:val="75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5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5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5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5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52"/>
    <w:link w:val="755"/>
    <w:uiPriority w:val="99"/>
    <w:pPr>
      <w:pBdr/>
      <w:spacing/>
      <w:ind/>
    </w:pPr>
  </w:style>
  <w:style w:type="character" w:styleId="179">
    <w:name w:val="Footer Char"/>
    <w:basedOn w:val="752"/>
    <w:link w:val="757"/>
    <w:uiPriority w:val="99"/>
    <w:pPr>
      <w:pBdr/>
      <w:spacing/>
      <w:ind/>
    </w:pPr>
  </w:style>
  <w:style w:type="paragraph" w:styleId="180">
    <w:name w:val="Caption"/>
    <w:basedOn w:val="751"/>
    <w:next w:val="7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5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5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5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5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5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5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5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51"/>
    <w:next w:val="751"/>
    <w:uiPriority w:val="39"/>
    <w:unhideWhenUsed/>
    <w:pPr>
      <w:pBdr/>
      <w:spacing w:after="100"/>
      <w:ind/>
    </w:pPr>
  </w:style>
  <w:style w:type="paragraph" w:styleId="190">
    <w:name w:val="toc 2"/>
    <w:basedOn w:val="751"/>
    <w:next w:val="751"/>
    <w:uiPriority w:val="39"/>
    <w:unhideWhenUsed/>
    <w:pPr>
      <w:pBdr/>
      <w:spacing w:after="100"/>
      <w:ind w:left="220"/>
    </w:pPr>
  </w:style>
  <w:style w:type="paragraph" w:styleId="191">
    <w:name w:val="toc 3"/>
    <w:basedOn w:val="751"/>
    <w:next w:val="751"/>
    <w:uiPriority w:val="39"/>
    <w:unhideWhenUsed/>
    <w:pPr>
      <w:pBdr/>
      <w:spacing w:after="100"/>
      <w:ind w:left="440"/>
    </w:pPr>
  </w:style>
  <w:style w:type="paragraph" w:styleId="192">
    <w:name w:val="toc 4"/>
    <w:basedOn w:val="751"/>
    <w:next w:val="751"/>
    <w:uiPriority w:val="39"/>
    <w:unhideWhenUsed/>
    <w:pPr>
      <w:pBdr/>
      <w:spacing w:after="100"/>
      <w:ind w:left="660"/>
    </w:pPr>
  </w:style>
  <w:style w:type="paragraph" w:styleId="193">
    <w:name w:val="toc 5"/>
    <w:basedOn w:val="751"/>
    <w:next w:val="751"/>
    <w:uiPriority w:val="39"/>
    <w:unhideWhenUsed/>
    <w:pPr>
      <w:pBdr/>
      <w:spacing w:after="100"/>
      <w:ind w:left="880"/>
    </w:pPr>
  </w:style>
  <w:style w:type="paragraph" w:styleId="194">
    <w:name w:val="toc 6"/>
    <w:basedOn w:val="751"/>
    <w:next w:val="751"/>
    <w:uiPriority w:val="39"/>
    <w:unhideWhenUsed/>
    <w:pPr>
      <w:pBdr/>
      <w:spacing w:after="100"/>
      <w:ind w:left="1100"/>
    </w:pPr>
  </w:style>
  <w:style w:type="paragraph" w:styleId="195">
    <w:name w:val="toc 7"/>
    <w:basedOn w:val="751"/>
    <w:next w:val="751"/>
    <w:uiPriority w:val="39"/>
    <w:unhideWhenUsed/>
    <w:pPr>
      <w:pBdr/>
      <w:spacing w:after="100"/>
      <w:ind w:left="1320"/>
    </w:pPr>
  </w:style>
  <w:style w:type="paragraph" w:styleId="196">
    <w:name w:val="toc 8"/>
    <w:basedOn w:val="751"/>
    <w:next w:val="751"/>
    <w:uiPriority w:val="39"/>
    <w:unhideWhenUsed/>
    <w:pPr>
      <w:pBdr/>
      <w:spacing w:after="100"/>
      <w:ind w:left="1540"/>
    </w:pPr>
  </w:style>
  <w:style w:type="paragraph" w:styleId="197">
    <w:name w:val="toc 9"/>
    <w:basedOn w:val="751"/>
    <w:next w:val="75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5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51"/>
    <w:next w:val="751"/>
    <w:uiPriority w:val="99"/>
    <w:unhideWhenUsed/>
    <w:pPr>
      <w:pBdr/>
      <w:spacing w:after="0" w:afterAutospacing="0"/>
      <w:ind/>
    </w:pPr>
  </w:style>
  <w:style w:type="paragraph" w:styleId="751" w:default="1">
    <w:name w:val="Normal"/>
    <w:qFormat/>
    <w:pPr>
      <w:pBdr/>
      <w:spacing/>
      <w:ind/>
    </w:pPr>
  </w:style>
  <w:style w:type="character" w:styleId="752" w:default="1">
    <w:name w:val="Default Paragraph Font"/>
    <w:uiPriority w:val="1"/>
    <w:semiHidden/>
    <w:unhideWhenUsed/>
    <w:pPr>
      <w:pBdr/>
      <w:spacing/>
      <w:ind/>
    </w:pPr>
  </w:style>
  <w:style w:type="table" w:styleId="75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4" w:default="1">
    <w:name w:val="No List"/>
    <w:uiPriority w:val="99"/>
    <w:semiHidden/>
    <w:unhideWhenUsed/>
    <w:pPr>
      <w:pBdr/>
      <w:spacing/>
      <w:ind/>
    </w:pPr>
  </w:style>
  <w:style w:type="paragraph" w:styleId="755">
    <w:name w:val="Header"/>
    <w:basedOn w:val="751"/>
    <w:link w:val="75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56" w:customStyle="1">
    <w:name w:val="Верхний колонтитул Знак"/>
    <w:basedOn w:val="752"/>
    <w:link w:val="755"/>
    <w:uiPriority w:val="99"/>
    <w:pPr>
      <w:pBdr/>
      <w:spacing/>
      <w:ind/>
    </w:pPr>
  </w:style>
  <w:style w:type="paragraph" w:styleId="757">
    <w:name w:val="Footer"/>
    <w:basedOn w:val="751"/>
    <w:link w:val="75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58" w:customStyle="1">
    <w:name w:val="Нижний колонтитул Знак"/>
    <w:basedOn w:val="752"/>
    <w:link w:val="757"/>
    <w:uiPriority w:val="99"/>
    <w:pPr>
      <w:pBdr/>
      <w:spacing/>
      <w:ind/>
    </w:pPr>
  </w:style>
  <w:style w:type="table" w:styleId="759">
    <w:name w:val="Table Grid"/>
    <w:basedOn w:val="7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0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1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4B8AD-6CF4-4E22-8C37-D8C0AEBE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10</cp:revision>
  <dcterms:created xsi:type="dcterms:W3CDTF">2023-06-26T04:07:00Z</dcterms:created>
  <dcterms:modified xsi:type="dcterms:W3CDTF">2026-02-26T15:05:23Z</dcterms:modified>
</cp:coreProperties>
</file>